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sbxsb1bhc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123950" cy="314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May: </w:t>
      </w:r>
      <w:r w:rsidDel="00000000" w:rsidR="00000000" w:rsidRPr="00000000">
        <w:rPr>
          <w:rtl w:val="0"/>
        </w:rPr>
        <w:t xml:space="preserve">Mental Health, Your Way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 </w:t>
      </w:r>
      <w:r w:rsidDel="00000000" w:rsidR="00000000" w:rsidRPr="00000000">
        <w:rPr>
          <w:rtl w:val="0"/>
        </w:rPr>
        <w:t xml:space="preserve">Weight care doesn't have to be a "loud" conversation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Team,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often talk about weight in terms of noise—the noise of the latest diet trends, the noise of external expectations, and the persistent inner noise of "I should be doing more."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May, for Mental Health Awareness Month, we want to shift that dialogue. We believe that true health isn’t just about the physical results you see in the mirror; it’s about the peace of mind you find along the way. Your relationship with your body is a conversation you have with yourself every day. Found is here to help make that conversation a kinder one.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different take on the journey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Found doesn’t believe in a "one-size-fits-all" approach because your mental health and your biology are uniquely yours. We offer two distinct paths designed to meet you exactly where your head and heart are today: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Path of Biological Support (Found Clinic*):</w:t>
      </w:r>
      <w:r w:rsidDel="00000000" w:rsidR="00000000" w:rsidRPr="00000000">
        <w:rPr>
          <w:rtl w:val="0"/>
        </w:rPr>
        <w:t xml:space="preserve"> Sometimes, despite our best mental efforts, our biology works against us. Found Clinic connects you with board-certified medical experts who can help quiet the "food noise" through personalized medication paths**. This isn't a shortcut—it’s about leveling the playing field so your brain and body are finally on the same page.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Path of Sustainable Habit (Found Wellness):</w:t>
      </w:r>
      <w:r w:rsidDel="00000000" w:rsidR="00000000" w:rsidRPr="00000000">
        <w:rPr>
          <w:rtl w:val="0"/>
        </w:rPr>
        <w:t xml:space="preserve"> If you’re looking to focus solely on the behavioral side, Found Wellness provides a sanctuary for habit change. There are no restrictive rules or guilt-driven points. Instead, you focus on small, intentional shifts in nutrition, movement, and stress management that actually feel good.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Support that hears you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Regardless of the path you choose, you’ll have access to in app 1:1 Health Coaching. Think of your coach not as a drill sergeant, but as a partner to help you navigate the emotional hurdles of weight care—from managing stress-eating to celebrating the non-scale victories that truly matter.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Weight care is a mental journey. You deserve a program that respects your boundaries and supports your peace of mind.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[Link: Explore Found on your own terms]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your health, inside and out,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[HR/Benefits Team]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*Program available to individuals ages 18-64 who qualify for anti-obesity medications following FDA guidelines (BMI 30+ or BMI 27+ with comorbidities).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**Branded GLP-1s and Personalized Compounded GLP-1s are typically paid for by a member out of pocket.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joinfound.com/employers/sequoia-cl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